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C1" w:rsidRPr="00EA7FC1" w:rsidRDefault="00EA7FC1" w:rsidP="00EA7FC1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111111"/>
          <w:kern w:val="36"/>
          <w:sz w:val="48"/>
          <w:szCs w:val="48"/>
          <w:lang w:eastAsia="pt-BR"/>
        </w:rPr>
      </w:pPr>
      <w:r w:rsidRPr="00EA7FC1">
        <w:rPr>
          <w:rFonts w:ascii="Open Sans" w:eastAsia="Times New Roman" w:hAnsi="Open Sans" w:cs="Open Sans"/>
          <w:b/>
          <w:bCs/>
          <w:color w:val="111111"/>
          <w:kern w:val="36"/>
          <w:sz w:val="28"/>
          <w:szCs w:val="28"/>
          <w:lang w:eastAsia="pt-BR"/>
        </w:rPr>
        <w:t>MODELO DE FORMATAÇÃO DE PRODUÇÕES PARA PUBLICAÇÃO NO BOLETIM P&amp;D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</w:t>
      </w:r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OBSERVAÇAO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: Apesar das submissões dos trabalhos serem feitas com base nas normas que seguem abaixo, a </w:t>
      </w:r>
      <w:proofErr w:type="spell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adequaçao</w:t>
      </w:r>
      <w:proofErr w:type="spell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 final será </w:t>
      </w:r>
      <w:proofErr w:type="spell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relizada</w:t>
      </w:r>
      <w:proofErr w:type="spell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 pelo Editor </w:t>
      </w:r>
      <w:proofErr w:type="spell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responável</w:t>
      </w:r>
      <w:proofErr w:type="spell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 para atender o “layout” da diagramação final da </w:t>
      </w:r>
      <w:proofErr w:type="spell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publicaçao</w:t>
      </w:r>
      <w:proofErr w:type="spell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A formatação da produção deverá ser feita de acordo com os tópicos descritos a seguir: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a)      </w:t>
      </w:r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TÍTULO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: Assim como neste modelo, o título deve conter um espaçamento no parágrafo de 6 (seis) pontos acima e 24 (vinte e quatro) pontos abaixo, em posição centralizada, com fonte </w:t>
      </w:r>
      <w:r w:rsidRPr="00EA7FC1">
        <w:rPr>
          <w:rFonts w:ascii="Open Sans" w:eastAsia="Times New Roman" w:hAnsi="Open Sans" w:cs="Open Sans"/>
          <w:i/>
          <w:iCs/>
          <w:color w:val="111111"/>
          <w:sz w:val="19"/>
          <w:szCs w:val="19"/>
          <w:lang w:eastAsia="pt-BR"/>
        </w:rPr>
        <w:t>Times New Roman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, tamanho 13 (treze), em negrito, com todas as letras em maiúsculo;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b)      Nomes dos autores: no máximo de 5 citando apenas o e-mail do autor para correspondência, marcado com um asterisco (*);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c)      </w:t>
      </w:r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ABSTRACT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: </w:t>
      </w:r>
      <w:proofErr w:type="gram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o abstract e o título de sua produção deve</w:t>
      </w:r>
      <w:proofErr w:type="gram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 ser escrito em língua inglesa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bookmarkStart w:id="0" w:name="_GoBack"/>
      <w:bookmarkEnd w:id="0"/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1.      APRESENTAÇÃO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Deverá ser redigida de forma compacta, clara e sucinta. Na apresentação, como o próprio nome diz, os autores devem descrever seu trabalho, citar a importância </w:t>
      </w:r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e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 motivos para sua execução, vantagens, se </w:t>
      </w:r>
      <w:proofErr w:type="gram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houver,  perspectivas</w:t>
      </w:r>
      <w:proofErr w:type="gram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, sugestões e conclusões de sua produção</w:t>
      </w:r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.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A apresentação deve ter no máximo 2 laudas ou 3500 caracteres com espaços, em texto corrido, não devendo ser utilizadas notas de rodapé.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Deve-se utilizar tamanho A4 (210 x297 mm) e as margens (superior, inferior, lateral esquerda e lateral direita) devem ter2 cm.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A produção deve ser escrita no programa </w:t>
      </w:r>
      <w:r w:rsidRPr="00EA7FC1">
        <w:rPr>
          <w:rFonts w:ascii="Open Sans" w:eastAsia="Times New Roman" w:hAnsi="Open Sans" w:cs="Open Sans"/>
          <w:i/>
          <w:iCs/>
          <w:color w:val="111111"/>
          <w:sz w:val="19"/>
          <w:szCs w:val="19"/>
          <w:lang w:eastAsia="pt-BR"/>
        </w:rPr>
        <w:t>Microsoft Word 2003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, ou superior. Se você está lendo este documento, significa que você possui a versão adequada do programa.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2.      FIGURAS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As figuras devem ser em salvas em “</w:t>
      </w:r>
      <w:proofErr w:type="spell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jpg</w:t>
      </w:r>
      <w:proofErr w:type="spell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” 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u w:val="single"/>
          <w:lang w:eastAsia="pt-BR"/>
        </w:rPr>
        <w:t>e nunca em PowerPoint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, encaminhas em arquivos separados e apresentarem boa qualidade. Figuras de baixa qualidade podem não ser inseridas na publicação.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Deve ser elaborada uma lista de “Legendas das Figuras” contendo apenas as legendas auto- explicativas das figuras, acompanhadas de sua numeração, de maneira que não seja necessário recorrer ao texto para entendimento </w:t>
      </w:r>
      <w:proofErr w:type="gram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da mesma</w:t>
      </w:r>
      <w:proofErr w:type="gram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. Veja o exemplo a seguir.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Legendas das Figuras:                                           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lastRenderedPageBreak/>
        <w:t xml:space="preserve"> Figura 1. Parque Nacional da Restinga de Jurubatiba/RJ entre os municípios de Macaé e Quissamã/RJ. A) Vista aérea da localização da Restinga. B) Área próxima à Lagoa de Jurubatiba, cujas amostras vegetais foram coletadas para o isolamento de fungos </w:t>
      </w:r>
      <w:proofErr w:type="spell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endofíticos</w:t>
      </w:r>
      <w:proofErr w:type="spell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 </w:t>
      </w:r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3.    REFERÊNCIAS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 Citar corretamente a literatura é muito importante. Reparem que a citação de autores ao longo do texto (De acordo com Fulano (1997)), é feita em letras minúsculas, </w:t>
      </w:r>
      <w:proofErr w:type="gram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enquanto que</w:t>
      </w:r>
      <w:proofErr w:type="gram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 a citação de autores entre parênteses, ao final do parágrafo, deve ser feita em letra maiúscula, conforme indicado no próximo parágrafo.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Na verdade, citar trechos de trabalhos de outros autores, sem referenciar adequadamente, pode ser enquadrado como plágio (BELTRANO, 2002).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Para as referências, deve-se utilizar texto com fonte </w:t>
      </w:r>
      <w:r w:rsidRPr="00EA7FC1">
        <w:rPr>
          <w:rFonts w:ascii="Open Sans" w:eastAsia="Times New Roman" w:hAnsi="Open Sans" w:cs="Open Sans"/>
          <w:i/>
          <w:iCs/>
          <w:color w:val="111111"/>
          <w:sz w:val="19"/>
          <w:szCs w:val="19"/>
          <w:lang w:eastAsia="pt-BR"/>
        </w:rPr>
        <w:t>Times New Roman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, tamanho 11, espaçamento simples, prevendo 6 pontos depois de cada referência, exatamente conforme aparece nas referências aleatórias incluídas a seguir. As referências devem aparecer em ordem alfabética e não devem ser numeradas. Todas as referências citadas no texto, e apenas estas, devem ser incluídas ao final, na seção Referências. Vejam os exemplos a seguir.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ABDEL-AAL, R.E. &amp; AL-GARNI, Z</w:t>
      </w:r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.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Forecasting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Monthly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Electric Energy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Consumption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in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eastern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Saudi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Arabia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using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Univariate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Time-Series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Analysis</w:t>
      </w:r>
      <w:proofErr w:type="spell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. Energy Vol. 22, n.11, p.1059-1069, 1997.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ABRAHAM, B. &amp; LEDOLTER, J</w:t>
      </w:r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.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Statistical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Methods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for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Forecasting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.New</w:t>
      </w:r>
      <w:proofErr w:type="spell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 York: John </w:t>
      </w:r>
      <w:proofErr w:type="spell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Wiley</w:t>
      </w:r>
      <w:proofErr w:type="spell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 &amp; Sons, 1983.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LIM, C. &amp; </w:t>
      </w:r>
      <w:proofErr w:type="spell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McALEER</w:t>
      </w:r>
      <w:proofErr w:type="spell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, M. </w:t>
      </w:r>
      <w:r w:rsidRPr="00EA7FC1">
        <w:rPr>
          <w:rFonts w:ascii="Open Sans" w:eastAsia="Times New Roman" w:hAnsi="Open Sans" w:cs="Open Sans"/>
          <w:i/>
          <w:iCs/>
          <w:color w:val="111111"/>
          <w:sz w:val="19"/>
          <w:szCs w:val="19"/>
          <w:lang w:eastAsia="pt-BR"/>
        </w:rPr>
        <w:t>Time Series 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Forecasts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of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International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Travel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Demand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for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Australia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.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</w:t>
      </w:r>
      <w:proofErr w:type="spell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Tourism</w:t>
      </w:r>
      <w:proofErr w:type="spell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 Management, artigo aceito em 2001 para publicação, aguardando impressão.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MAKRIDAKIS, S.; WHEELWRIGHT, S. &amp; HYNDMAN, R.J. 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Forecasting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Methods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and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 xml:space="preserve"> </w:t>
      </w:r>
      <w:proofErr w:type="spellStart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Applications</w:t>
      </w:r>
      <w:proofErr w:type="spellEnd"/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.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 3. ed. New York: John </w:t>
      </w:r>
      <w:proofErr w:type="spellStart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Wiley</w:t>
      </w:r>
      <w:proofErr w:type="spellEnd"/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 xml:space="preserve"> &amp; Sons, 1998.</w:t>
      </w:r>
    </w:p>
    <w:p w:rsidR="00EA7FC1" w:rsidRPr="00EA7FC1" w:rsidRDefault="00EA7FC1" w:rsidP="00EA7FC1">
      <w:pPr>
        <w:shd w:val="clear" w:color="auto" w:fill="FFFFFF"/>
        <w:spacing w:before="240" w:after="240" w:line="240" w:lineRule="auto"/>
        <w:jc w:val="both"/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PELLEGRINI, F.R. &amp; FOGLIATTO, F. </w:t>
      </w:r>
      <w:r w:rsidRPr="00EA7FC1">
        <w:rPr>
          <w:rFonts w:ascii="Open Sans" w:eastAsia="Times New Roman" w:hAnsi="Open Sans" w:cs="Open Sans"/>
          <w:b/>
          <w:bCs/>
          <w:color w:val="111111"/>
          <w:sz w:val="19"/>
          <w:szCs w:val="19"/>
          <w:lang w:eastAsia="pt-BR"/>
        </w:rPr>
        <w:t>Estudo comparativo entre modelos de Winters e de Box-Jenkins para a previsão de demanda sazonal.</w:t>
      </w: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Revista Produto &amp; Produção. Vol. 4, número especial, p.72-85, 2000.</w:t>
      </w:r>
    </w:p>
    <w:p w:rsidR="00EA7FC1" w:rsidRDefault="00EA7FC1" w:rsidP="00EA7FC1">
      <w:pPr>
        <w:shd w:val="clear" w:color="auto" w:fill="FFFFFF"/>
        <w:spacing w:before="240" w:after="240" w:line="240" w:lineRule="auto"/>
        <w:jc w:val="both"/>
        <w:rPr>
          <w:caps/>
          <w:color w:val="111111"/>
        </w:rPr>
      </w:pPr>
      <w:r w:rsidRPr="00EA7FC1">
        <w:rPr>
          <w:rFonts w:ascii="Open Sans" w:eastAsia="Times New Roman" w:hAnsi="Open Sans" w:cs="Open Sans"/>
          <w:color w:val="111111"/>
          <w:sz w:val="19"/>
          <w:szCs w:val="19"/>
          <w:lang w:eastAsia="pt-BR"/>
        </w:rPr>
        <w:t> </w:t>
      </w:r>
      <w:r>
        <w:rPr>
          <w:caps/>
          <w:color w:val="111111"/>
        </w:rPr>
        <w:t>CONDIÇÕES PARA SUBMISSÃO</w:t>
      </w:r>
    </w:p>
    <w:p w:rsidR="00EA7FC1" w:rsidRDefault="00EA7FC1" w:rsidP="00EA7FC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Como parte do processo de submissão, os autores são obrigados a verificar a conformidade da submissão em relação a todos os itens listados a seguir. As submissões que não estiverem de acordo com as normas serão devolvidas aos autores.</w:t>
      </w:r>
    </w:p>
    <w:p w:rsidR="00EA7FC1" w:rsidRDefault="00EA7FC1" w:rsidP="00EA7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A contribuição é original e inédita, e não está sendo avaliada para publicação por outro boletim; caso contrário, deve-se justificar em "Comentários ao editor".</w:t>
      </w:r>
    </w:p>
    <w:p w:rsidR="00EA7FC1" w:rsidRDefault="00EA7FC1" w:rsidP="00EA7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O arquivo da submissão está em formato Microsoft Word, OpenOffice ou RTF.</w:t>
      </w:r>
    </w:p>
    <w:p w:rsidR="00EA7FC1" w:rsidRDefault="00EA7FC1" w:rsidP="00EA7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111111"/>
          <w:sz w:val="19"/>
          <w:szCs w:val="19"/>
        </w:rPr>
      </w:pPr>
      <w:proofErr w:type="spellStart"/>
      <w:r>
        <w:rPr>
          <w:rFonts w:ascii="Open Sans" w:hAnsi="Open Sans" w:cs="Open Sans"/>
          <w:color w:val="111111"/>
          <w:sz w:val="19"/>
          <w:szCs w:val="19"/>
        </w:rPr>
        <w:t>URLs</w:t>
      </w:r>
      <w:proofErr w:type="spellEnd"/>
      <w:r>
        <w:rPr>
          <w:rFonts w:ascii="Open Sans" w:hAnsi="Open Sans" w:cs="Open Sans"/>
          <w:color w:val="111111"/>
          <w:sz w:val="19"/>
          <w:szCs w:val="19"/>
        </w:rPr>
        <w:t xml:space="preserve"> para as referências foram informadas quando possível.</w:t>
      </w:r>
    </w:p>
    <w:p w:rsidR="00EA7FC1" w:rsidRDefault="00EA7FC1" w:rsidP="00EA7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O texto está em espaço simples; usa uma fonte de 12-pontos; emprega itálico em vez de sublinhado (exceto em endereços URL); as figuras e tabelas estão inseridas no texto, não no final do documento na forma de anexos.</w:t>
      </w:r>
    </w:p>
    <w:p w:rsidR="00EA7FC1" w:rsidRDefault="00EA7FC1" w:rsidP="00EA7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O texto segue os padrões de estilo e requisitos bibliográficos descritos em </w:t>
      </w:r>
      <w:hyperlink r:id="rId7" w:anchor="authorGuidelines" w:history="1">
        <w:r>
          <w:rPr>
            <w:rStyle w:val="Hyperlink"/>
            <w:rFonts w:ascii="Open Sans" w:hAnsi="Open Sans" w:cs="Open Sans"/>
            <w:color w:val="332200"/>
            <w:sz w:val="19"/>
            <w:szCs w:val="19"/>
          </w:rPr>
          <w:t>Diretrizes para Autores</w:t>
        </w:r>
      </w:hyperlink>
      <w:r>
        <w:rPr>
          <w:rFonts w:ascii="Open Sans" w:hAnsi="Open Sans" w:cs="Open Sans"/>
          <w:color w:val="111111"/>
          <w:sz w:val="19"/>
          <w:szCs w:val="19"/>
        </w:rPr>
        <w:t>, na página Sobre o Boletim.</w:t>
      </w:r>
    </w:p>
    <w:p w:rsidR="00EA7FC1" w:rsidRDefault="00EA7FC1" w:rsidP="00EA7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Em caso de submissão a uma seção com avaliação pelos pares (ex.: produções), as instruções disponíveis em </w:t>
      </w:r>
      <w:hyperlink r:id="rId8" w:history="1">
        <w:r>
          <w:rPr>
            <w:rStyle w:val="Hyperlink"/>
            <w:rFonts w:ascii="Open Sans" w:hAnsi="Open Sans" w:cs="Open Sans"/>
            <w:color w:val="332200"/>
            <w:sz w:val="19"/>
            <w:szCs w:val="19"/>
          </w:rPr>
          <w:t>Assegurando a avaliação pelos pares cega</w:t>
        </w:r>
      </w:hyperlink>
      <w:r>
        <w:rPr>
          <w:rFonts w:ascii="Open Sans" w:hAnsi="Open Sans" w:cs="Open Sans"/>
          <w:color w:val="111111"/>
          <w:sz w:val="19"/>
          <w:szCs w:val="19"/>
        </w:rPr>
        <w:t> foram seguidas.</w:t>
      </w:r>
    </w:p>
    <w:p w:rsidR="00EA7FC1" w:rsidRDefault="00EA7FC1" w:rsidP="00EA7FC1">
      <w:pPr>
        <w:shd w:val="clear" w:color="auto" w:fill="FFFFFF"/>
        <w:spacing w:after="0" w:line="24" w:lineRule="atLeast"/>
        <w:rPr>
          <w:rFonts w:ascii="Open Sans" w:hAnsi="Open Sans" w:cs="Open Sans"/>
          <w:color w:val="111111"/>
          <w:sz w:val="10"/>
          <w:szCs w:val="10"/>
        </w:rPr>
      </w:pPr>
      <w:r>
        <w:rPr>
          <w:rFonts w:ascii="Open Sans" w:hAnsi="Open Sans" w:cs="Open Sans"/>
          <w:color w:val="111111"/>
          <w:sz w:val="10"/>
          <w:szCs w:val="10"/>
        </w:rPr>
        <w:t> </w:t>
      </w:r>
    </w:p>
    <w:p w:rsidR="00EA7FC1" w:rsidRPr="00EA7FC1" w:rsidRDefault="00EA7FC1" w:rsidP="00EA7FC1">
      <w:pPr>
        <w:pStyle w:val="Ttulo3"/>
        <w:shd w:val="clear" w:color="auto" w:fill="FFFFFF"/>
        <w:spacing w:before="0" w:after="60"/>
        <w:ind w:right="240"/>
        <w:rPr>
          <w:rFonts w:ascii="Times New Roman" w:hAnsi="Times New Roman" w:cs="Times New Roman"/>
          <w:b/>
          <w:bCs/>
          <w:caps/>
          <w:color w:val="111111"/>
          <w:sz w:val="27"/>
          <w:szCs w:val="27"/>
        </w:rPr>
      </w:pPr>
      <w:r w:rsidRPr="00EA7FC1">
        <w:rPr>
          <w:b/>
          <w:bCs/>
          <w:caps/>
          <w:color w:val="111111"/>
        </w:rPr>
        <w:lastRenderedPageBreak/>
        <w:t>DECLARAÇÃO DE DIREITO AUTORAL</w:t>
      </w:r>
    </w:p>
    <w:p w:rsidR="00EA7FC1" w:rsidRDefault="00EA7FC1" w:rsidP="00EA7FC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Declaração de Direito Autoral</w:t>
      </w:r>
    </w:p>
    <w:p w:rsidR="00EA7FC1" w:rsidRDefault="00EA7FC1" w:rsidP="00EA7FC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As produções submetidas ao </w:t>
      </w:r>
      <w:r>
        <w:rPr>
          <w:rStyle w:val="nfase"/>
          <w:rFonts w:ascii="Open Sans" w:hAnsi="Open Sans" w:cs="Open Sans"/>
          <w:color w:val="111111"/>
          <w:sz w:val="19"/>
          <w:szCs w:val="19"/>
        </w:rPr>
        <w:t>Boletim P&amp;D</w:t>
      </w:r>
      <w:r>
        <w:rPr>
          <w:rFonts w:ascii="Open Sans" w:hAnsi="Open Sans" w:cs="Open Sans"/>
          <w:color w:val="111111"/>
          <w:sz w:val="19"/>
          <w:szCs w:val="19"/>
        </w:rPr>
        <w:t xml:space="preserve"> estão licenciadas conforme CC BY. Para mais informações sobre essa forma de </w:t>
      </w:r>
      <w:proofErr w:type="gramStart"/>
      <w:r>
        <w:rPr>
          <w:rFonts w:ascii="Open Sans" w:hAnsi="Open Sans" w:cs="Open Sans"/>
          <w:color w:val="111111"/>
          <w:sz w:val="19"/>
          <w:szCs w:val="19"/>
        </w:rPr>
        <w:t>licenciamento,  consulte</w:t>
      </w:r>
      <w:proofErr w:type="gramEnd"/>
      <w:r>
        <w:rPr>
          <w:rFonts w:ascii="Open Sans" w:hAnsi="Open Sans" w:cs="Open Sans"/>
          <w:color w:val="111111"/>
          <w:sz w:val="19"/>
          <w:szCs w:val="19"/>
        </w:rPr>
        <w:t>:</w:t>
      </w:r>
    </w:p>
    <w:p w:rsidR="00EA7FC1" w:rsidRDefault="00EA7FC1" w:rsidP="00EA7FC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 http://creativecommons.org/licenses/by/4.0</w:t>
      </w:r>
    </w:p>
    <w:p w:rsidR="00EA7FC1" w:rsidRDefault="00EA7FC1" w:rsidP="00EA7FC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A disponibilização é gratuita na Internet, para que os usuários possam ler, fazer download, copiar, distribuir, imprimir, pesquisar ou referenciar o texto integral dos documentos, processá-los para indexação, utilizá-los como dados de entrada de programas para softwares, ou usá-los para qualquer outro propósito legal, sem barreira financeira, legal ou técnica.</w:t>
      </w:r>
    </w:p>
    <w:p w:rsidR="00EA7FC1" w:rsidRDefault="00EA7FC1" w:rsidP="00EA7FC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1) Autores mantém os direitos autorais e concedem ao Boletim o direito de primeira publicação, com a produção simultaneamente licenciada sob a </w:t>
      </w:r>
      <w:hyperlink r:id="rId9" w:history="1">
        <w:r>
          <w:rPr>
            <w:rStyle w:val="Hyperlink"/>
            <w:rFonts w:ascii="Open Sans" w:hAnsi="Open Sans" w:cs="Open Sans"/>
            <w:color w:val="332200"/>
            <w:sz w:val="19"/>
            <w:szCs w:val="19"/>
          </w:rPr>
          <w:t xml:space="preserve">Licença </w:t>
        </w:r>
        <w:proofErr w:type="spellStart"/>
        <w:r>
          <w:rPr>
            <w:rStyle w:val="Hyperlink"/>
            <w:rFonts w:ascii="Open Sans" w:hAnsi="Open Sans" w:cs="Open Sans"/>
            <w:color w:val="332200"/>
            <w:sz w:val="19"/>
            <w:szCs w:val="19"/>
          </w:rPr>
          <w:t>Creative</w:t>
        </w:r>
        <w:proofErr w:type="spellEnd"/>
        <w:r>
          <w:rPr>
            <w:rStyle w:val="Hyperlink"/>
            <w:rFonts w:ascii="Open Sans" w:hAnsi="Open Sans" w:cs="Open Sans"/>
            <w:color w:val="332200"/>
            <w:sz w:val="19"/>
            <w:szCs w:val="19"/>
          </w:rPr>
          <w:t xml:space="preserve"> Commons </w:t>
        </w:r>
        <w:proofErr w:type="spellStart"/>
        <w:r>
          <w:rPr>
            <w:rStyle w:val="Hyperlink"/>
            <w:rFonts w:ascii="Open Sans" w:hAnsi="Open Sans" w:cs="Open Sans"/>
            <w:color w:val="332200"/>
            <w:sz w:val="19"/>
            <w:szCs w:val="19"/>
          </w:rPr>
          <w:t>Attribution</w:t>
        </w:r>
        <w:proofErr w:type="spellEnd"/>
      </w:hyperlink>
      <w:r>
        <w:rPr>
          <w:rFonts w:ascii="Open Sans" w:hAnsi="Open Sans" w:cs="Open Sans"/>
          <w:color w:val="111111"/>
          <w:sz w:val="19"/>
          <w:szCs w:val="19"/>
        </w:rPr>
        <w:t> que permite o compartilhamento do trabalho com reconhecimento da autoria e publicação inicial neste Boletim.</w:t>
      </w:r>
    </w:p>
    <w:p w:rsidR="00EA7FC1" w:rsidRDefault="00EA7FC1" w:rsidP="00EA7FC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2) Autores têm autorização para assumir contratos adicionais separadamente, para distribuição não-exclusiva da versão do trabalho publicada neste Boletim (ex.: publicar em repositório institucional ou como capítulo de livro), com reconhecimento de autoria e publicação inicial neste Boletim.</w:t>
      </w:r>
    </w:p>
    <w:p w:rsidR="00EA7FC1" w:rsidRDefault="00EA7FC1" w:rsidP="00EA7FC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3) Autores têm permissão para publicar e distribuir sua produção online (ex.: em repositórios institucionais ou na sua página pessoal) a qualquer ponto antes ou durante o processo editorial, já que isso pode gerar alterações produtivas, bem como aumentar o impacto e a citação da produção publicada.</w:t>
      </w:r>
    </w:p>
    <w:p w:rsidR="00EA7FC1" w:rsidRPr="00EA7FC1" w:rsidRDefault="00EA7FC1" w:rsidP="00EA7FC1">
      <w:pPr>
        <w:pStyle w:val="NormalWeb"/>
        <w:shd w:val="clear" w:color="auto" w:fill="FFFFFF"/>
        <w:spacing w:before="240" w:beforeAutospacing="0" w:after="240" w:afterAutospacing="0"/>
        <w:rPr>
          <w:b/>
          <w:bCs/>
          <w:caps/>
          <w:color w:val="111111"/>
          <w:sz w:val="27"/>
          <w:szCs w:val="27"/>
        </w:rPr>
      </w:pPr>
      <w:r>
        <w:rPr>
          <w:rFonts w:ascii="Open Sans" w:hAnsi="Open Sans" w:cs="Open Sans"/>
          <w:color w:val="111111"/>
          <w:sz w:val="19"/>
          <w:szCs w:val="19"/>
        </w:rPr>
        <w:t> </w:t>
      </w:r>
      <w:r w:rsidRPr="00EA7FC1">
        <w:rPr>
          <w:b/>
          <w:bCs/>
          <w:caps/>
          <w:color w:val="111111"/>
        </w:rPr>
        <w:t>POLÍTICA DE PRIVACIDADE</w:t>
      </w:r>
    </w:p>
    <w:p w:rsidR="00EA7FC1" w:rsidRDefault="00EA7FC1" w:rsidP="00EA7FC1">
      <w:pPr>
        <w:pStyle w:val="Normal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111111"/>
          <w:sz w:val="19"/>
          <w:szCs w:val="19"/>
        </w:rPr>
      </w:pPr>
      <w:r>
        <w:rPr>
          <w:rFonts w:ascii="Open Sans" w:hAnsi="Open Sans" w:cs="Open Sans"/>
          <w:color w:val="111111"/>
          <w:sz w:val="19"/>
          <w:szCs w:val="19"/>
        </w:rPr>
        <w:t>Os nomes e endereços informados nesta revista serão usados exclusivamente para os serviços prestados por esta publicação, não sendo disponibilizados para outras finalidades ou a terceiros.</w:t>
      </w:r>
    </w:p>
    <w:p w:rsidR="00C15A02" w:rsidRDefault="00BB1ABD"/>
    <w:sectPr w:rsidR="00C15A0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ABD" w:rsidRDefault="00BB1ABD" w:rsidP="00EA7FC1">
      <w:pPr>
        <w:spacing w:after="0" w:line="240" w:lineRule="auto"/>
      </w:pPr>
      <w:r>
        <w:separator/>
      </w:r>
    </w:p>
  </w:endnote>
  <w:endnote w:type="continuationSeparator" w:id="0">
    <w:p w:rsidR="00BB1ABD" w:rsidRDefault="00BB1ABD" w:rsidP="00EA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ABD" w:rsidRDefault="00BB1ABD" w:rsidP="00EA7FC1">
      <w:pPr>
        <w:spacing w:after="0" w:line="240" w:lineRule="auto"/>
      </w:pPr>
      <w:r>
        <w:separator/>
      </w:r>
    </w:p>
  </w:footnote>
  <w:footnote w:type="continuationSeparator" w:id="0">
    <w:p w:rsidR="00BB1ABD" w:rsidRDefault="00BB1ABD" w:rsidP="00EA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FC1" w:rsidRDefault="00EA7FC1">
    <w:pPr>
      <w:pStyle w:val="Cabealho"/>
    </w:pPr>
    <w:r>
      <w:rPr>
        <w:rFonts w:ascii="Open Sans" w:eastAsia="Times New Roman" w:hAnsi="Open Sans" w:cs="Open Sans"/>
        <w:b/>
        <w:bCs/>
        <w:noProof/>
        <w:color w:val="111111"/>
        <w:kern w:val="36"/>
        <w:sz w:val="48"/>
        <w:szCs w:val="48"/>
        <w:lang w:eastAsia="pt-BR"/>
      </w:rPr>
      <w:drawing>
        <wp:inline distT="0" distB="0" distL="0" distR="0" wp14:anchorId="2914D48F" wp14:editId="1F2B2FFE">
          <wp:extent cx="5400040" cy="474345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_PD_(1)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E3295"/>
    <w:multiLevelType w:val="multilevel"/>
    <w:tmpl w:val="9AEC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C1"/>
    <w:rsid w:val="005D1E09"/>
    <w:rsid w:val="00743D11"/>
    <w:rsid w:val="008334A5"/>
    <w:rsid w:val="00BB1ABD"/>
    <w:rsid w:val="00E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468E"/>
  <w15:chartTrackingRefBased/>
  <w15:docId w15:val="{3F2F9CB2-514C-4DB6-9F2F-E8F17D8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F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EA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7FC1"/>
    <w:rPr>
      <w:b/>
      <w:bCs/>
    </w:rPr>
  </w:style>
  <w:style w:type="character" w:styleId="nfase">
    <w:name w:val="Emphasis"/>
    <w:basedOn w:val="Fontepargpadro"/>
    <w:uiPriority w:val="20"/>
    <w:qFormat/>
    <w:rsid w:val="00EA7FC1"/>
    <w:rPr>
      <w:i/>
      <w:iCs/>
    </w:rPr>
  </w:style>
  <w:style w:type="paragraph" w:customStyle="1" w:styleId="resumo">
    <w:name w:val="resumo"/>
    <w:basedOn w:val="Normal"/>
    <w:rsid w:val="00EA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bliografia">
    <w:name w:val="bibliografia"/>
    <w:basedOn w:val="Normal"/>
    <w:rsid w:val="00EA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7F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A7FC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7FC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A7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FC1"/>
  </w:style>
  <w:style w:type="paragraph" w:styleId="Rodap">
    <w:name w:val="footer"/>
    <w:basedOn w:val="Normal"/>
    <w:link w:val="RodapChar"/>
    <w:uiPriority w:val="99"/>
    <w:unhideWhenUsed/>
    <w:rsid w:val="00EA7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18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DEB887"/>
            <w:right w:val="none" w:sz="0" w:space="0" w:color="auto"/>
          </w:divBdr>
        </w:div>
        <w:div w:id="741117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DEB887"/>
            <w:right w:val="none" w:sz="0" w:space="0" w:color="auto"/>
          </w:divBdr>
        </w:div>
      </w:divsChild>
    </w:div>
    <w:div w:id="1742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Help('http://seer.perspectivasonline.com.br/index.php/boletim_p_d/help/view/editorial/topic/000044')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%C3%A1rbara\Desktop\Perspectivas%20Online\Backup%20Perspectivas%20Online\www.seer.perspectivasonline.com.br\index.php\boletim_p_d\about\submissi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Ferreira de Oliveira</dc:creator>
  <cp:keywords/>
  <dc:description/>
  <cp:lastModifiedBy>Bárbara Ferreira de Oliveira</cp:lastModifiedBy>
  <cp:revision>1</cp:revision>
  <dcterms:created xsi:type="dcterms:W3CDTF">2019-11-15T03:42:00Z</dcterms:created>
  <dcterms:modified xsi:type="dcterms:W3CDTF">2019-11-15T03:45:00Z</dcterms:modified>
</cp:coreProperties>
</file>